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4"/>
        <w:ind w:firstLine="567"/>
        <w:spacing w:line="360" w:lineRule="exact"/>
        <w:rPr>
          <w:szCs w:val="28"/>
        </w:rPr>
      </w:pPr>
      <w:r>
        <w:rPr>
          <w:szCs w:val="28"/>
        </w:rPr>
        <w:t xml:space="preserve">ПОЯСНИТЕЛЬНАЯ ЗАПИСКА</w:t>
      </w:r>
      <w:r>
        <w:rPr>
          <w:szCs w:val="28"/>
        </w:rPr>
      </w:r>
      <w:r>
        <w:rPr>
          <w:szCs w:val="28"/>
        </w:rPr>
      </w:r>
    </w:p>
    <w:p>
      <w:pPr>
        <w:pStyle w:val="684"/>
        <w:ind w:firstLine="567"/>
        <w:spacing w:line="360" w:lineRule="exact"/>
        <w:rPr>
          <w:szCs w:val="28"/>
        </w:rPr>
      </w:pPr>
      <w:r>
        <w:rPr>
          <w:szCs w:val="28"/>
        </w:rPr>
        <w:t xml:space="preserve">к проекту закона Новосибирской области </w:t>
      </w:r>
      <w:r>
        <w:rPr>
          <w:szCs w:val="28"/>
        </w:rPr>
      </w:r>
      <w:r>
        <w:rPr>
          <w:szCs w:val="28"/>
        </w:rPr>
      </w:r>
    </w:p>
    <w:p>
      <w:pPr>
        <w:pStyle w:val="684"/>
        <w:ind w:firstLine="567"/>
        <w:spacing w:line="360" w:lineRule="exact"/>
        <w:rPr>
          <w:szCs w:val="28"/>
        </w:rPr>
      </w:pPr>
      <w:r>
        <w:rPr>
          <w:szCs w:val="28"/>
        </w:rPr>
        <w:t xml:space="preserve">«О </w:t>
      </w:r>
      <w:r>
        <w:rPr>
          <w:szCs w:val="28"/>
        </w:rPr>
        <w:t xml:space="preserve">поправк</w:t>
      </w:r>
      <w:r>
        <w:rPr>
          <w:szCs w:val="28"/>
        </w:rPr>
        <w:t xml:space="preserve">е</w:t>
      </w:r>
      <w:r>
        <w:rPr>
          <w:szCs w:val="28"/>
        </w:rPr>
        <w:t xml:space="preserve"> к статье 36 Устава </w:t>
      </w:r>
      <w:r>
        <w:rPr>
          <w:szCs w:val="28"/>
        </w:rPr>
        <w:t xml:space="preserve">Новосибирской области»</w:t>
      </w:r>
      <w:r>
        <w:rPr>
          <w:szCs w:val="28"/>
        </w:rPr>
      </w:r>
      <w:r>
        <w:rPr>
          <w:szCs w:val="28"/>
        </w:rPr>
      </w:r>
    </w:p>
    <w:p>
      <w:pPr>
        <w:pStyle w:val="679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679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67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закона Новосибирской области «О </w:t>
      </w:r>
      <w:r>
        <w:rPr>
          <w:sz w:val="28"/>
          <w:szCs w:val="28"/>
        </w:rPr>
        <w:t xml:space="preserve">поправк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к статье 36 Устава</w:t>
      </w:r>
      <w:r>
        <w:rPr>
          <w:sz w:val="28"/>
          <w:szCs w:val="28"/>
        </w:rPr>
        <w:t xml:space="preserve"> Новосибирской области» (далее – проект закона) разработан в </w:t>
      </w:r>
      <w:r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 xml:space="preserve">частью 8 статьи 61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 xml:space="preserve">2021 </w:t>
      </w:r>
      <w:r>
        <w:rPr>
          <w:sz w:val="28"/>
          <w:szCs w:val="28"/>
        </w:rPr>
        <w:t xml:space="preserve">года №</w:t>
      </w:r>
      <w:r>
        <w:rPr>
          <w:sz w:val="28"/>
          <w:szCs w:val="28"/>
        </w:rPr>
        <w:t xml:space="preserve"> 414-ФЗ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общих принципах организации публичной власти в</w:t>
      </w:r>
      <w:r>
        <w:rPr>
          <w:sz w:val="28"/>
          <w:szCs w:val="28"/>
        </w:rPr>
        <w:t xml:space="preserve"> субъектах Российской Федерации»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направлен на уточнение перечня должностных лиц Правительства Новосибирской области, </w:t>
      </w:r>
      <w:r>
        <w:rPr>
          <w:sz w:val="28"/>
          <w:szCs w:val="28"/>
        </w:rPr>
        <w:t xml:space="preserve">предусмотренного </w:t>
      </w:r>
      <w:r>
        <w:rPr>
          <w:sz w:val="28"/>
          <w:szCs w:val="28"/>
        </w:rPr>
        <w:t xml:space="preserve">пункт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9 части 2</w:t>
      </w:r>
      <w:r>
        <w:rPr>
          <w:sz w:val="28"/>
          <w:szCs w:val="28"/>
        </w:rPr>
        <w:t xml:space="preserve"> статьи 36 Устава Новосибирской области,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на должность которых </w:t>
      </w:r>
      <w:r>
        <w:rPr>
          <w:sz w:val="28"/>
          <w:szCs w:val="28"/>
        </w:rPr>
        <w:t xml:space="preserve">согласов</w:t>
      </w:r>
      <w:r>
        <w:rPr>
          <w:sz w:val="28"/>
          <w:szCs w:val="28"/>
        </w:rPr>
        <w:t xml:space="preserve">ывает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Законодательное Собрание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</w:t>
      </w:r>
      <w:r>
        <w:rPr>
          <w:sz w:val="28"/>
          <w:szCs w:val="28"/>
        </w:rPr>
        <w:t xml:space="preserve"> приоритетных направлений социально-</w:t>
      </w:r>
      <w:r>
        <w:rPr>
          <w:sz w:val="28"/>
          <w:szCs w:val="28"/>
        </w:rPr>
        <w:t xml:space="preserve">экономического развития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роектом закона предлагается дополнить указанный перечень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</w:t>
      </w:r>
      <w:r>
        <w:rPr>
          <w:sz w:val="28"/>
          <w:szCs w:val="28"/>
        </w:rPr>
        <w:t xml:space="preserve">ью </w:t>
      </w:r>
      <w:r>
        <w:rPr>
          <w:sz w:val="28"/>
          <w:szCs w:val="28"/>
        </w:rPr>
        <w:t xml:space="preserve">заместител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Прав</w:t>
      </w:r>
      <w:r>
        <w:rPr>
          <w:sz w:val="28"/>
          <w:szCs w:val="28"/>
        </w:rPr>
        <w:t xml:space="preserve">ительства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органа исполнительной власти Новосибирской области в сфере агропромышленного комплекса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роект закона состоит из двух статей. </w:t>
      </w:r>
      <w:r>
        <w:rPr>
          <w:sz w:val="28"/>
          <w:szCs w:val="28"/>
        </w:rPr>
      </w:r>
    </w:p>
    <w:p>
      <w:pPr>
        <w:pStyle w:val="67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Статьей 1 вносятся соответствующ</w:t>
      </w:r>
      <w:r>
        <w:rPr>
          <w:sz w:val="28"/>
          <w:szCs w:val="28"/>
        </w:rPr>
        <w:t xml:space="preserve">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поправк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статье 36 </w:t>
      </w:r>
      <w:r>
        <w:rPr>
          <w:sz w:val="28"/>
          <w:szCs w:val="28"/>
        </w:rPr>
        <w:t xml:space="preserve">Устав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татьей 2 определяется порядок вступления закона в силу.</w:t>
      </w:r>
      <w:r>
        <w:rPr>
          <w:sz w:val="28"/>
          <w:szCs w:val="28"/>
        </w:rPr>
      </w:r>
    </w:p>
    <w:p>
      <w:pPr>
        <w:pStyle w:val="679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Проект закона не подлежит оценке регулирующего воздействия, поскольку не содержит положений, устанавливающих новые или изменяющих ранее предусмотренные нормативными правовыми актами обязанности для субъектов предпринимательской и инвес</w:t>
      </w:r>
      <w:r>
        <w:rPr>
          <w:bCs/>
          <w:iCs/>
          <w:sz w:val="28"/>
          <w:szCs w:val="28"/>
        </w:rPr>
        <w:t xml:space="preserve">тиционной деятельности, а также </w:t>
      </w:r>
      <w:r>
        <w:rPr>
          <w:bCs/>
          <w:iCs/>
          <w:sz w:val="28"/>
          <w:szCs w:val="28"/>
        </w:rPr>
        <w:t xml:space="preserve">устанавливающих, изменяющих или отменяющих ранее установленную ответственность за нарушение нормативных правовых актов, затрагивающих вопросы осуществления предпринимательской и инвестиционной деятельности.</w:t>
      </w:r>
      <w:r>
        <w:rPr>
          <w:bCs/>
          <w:iCs/>
          <w:sz w:val="28"/>
          <w:szCs w:val="28"/>
        </w:rPr>
      </w:r>
    </w:p>
    <w:sectPr>
      <w:headerReference w:type="default" r:id="rId8"/>
      <w:headerReference w:type="even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rPr>
        <w:rStyle w:val="688"/>
      </w:rPr>
      <w:framePr w:wrap="around" w:vAnchor="text" w:hAnchor="margin" w:xAlign="right" w:y="1"/>
    </w:pPr>
    <w:r>
      <w:rPr>
        <w:rStyle w:val="688"/>
      </w:rPr>
      <w:fldChar w:fldCharType="begin"/>
    </w:r>
    <w:r>
      <w:rPr>
        <w:rStyle w:val="688"/>
      </w:rPr>
      <w:instrText xml:space="preserve">PAGE  </w:instrText>
    </w:r>
    <w:r>
      <w:rPr>
        <w:rStyle w:val="688"/>
      </w:rPr>
      <w:fldChar w:fldCharType="end"/>
    </w:r>
    <w:r>
      <w:rPr>
        <w:rStyle w:val="688"/>
      </w:rPr>
    </w:r>
    <w:r>
      <w:rPr>
        <w:rStyle w:val="688"/>
      </w:rPr>
    </w:r>
  </w:p>
  <w:p>
    <w:pPr>
      <w:pStyle w:val="68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  <w:rPr>
        <w:rStyle w:val="688"/>
      </w:rPr>
      <w:framePr w:wrap="around" w:vAnchor="text" w:hAnchor="margin" w:xAlign="center" w:y="1"/>
    </w:pPr>
    <w:r>
      <w:rPr>
        <w:rStyle w:val="688"/>
      </w:rPr>
      <w:fldChar w:fldCharType="begin"/>
    </w:r>
    <w:r>
      <w:rPr>
        <w:rStyle w:val="688"/>
      </w:rPr>
      <w:instrText xml:space="preserve">PAGE  </w:instrText>
    </w:r>
    <w:r>
      <w:rPr>
        <w:rStyle w:val="688"/>
      </w:rPr>
      <w:fldChar w:fldCharType="separate"/>
    </w:r>
    <w:r>
      <w:rPr>
        <w:rStyle w:val="688"/>
      </w:rPr>
      <w:t xml:space="preserve">2</w:t>
    </w:r>
    <w:r>
      <w:rPr>
        <w:rStyle w:val="688"/>
      </w:rPr>
      <w:fldChar w:fldCharType="end"/>
    </w:r>
    <w:r>
      <w:rPr>
        <w:rStyle w:val="688"/>
      </w:rPr>
    </w:r>
    <w:r>
      <w:rPr>
        <w:rStyle w:val="688"/>
      </w:rPr>
    </w:r>
  </w:p>
  <w:p>
    <w:pPr>
      <w:pStyle w:val="68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  <w:rPr>
        <w:rStyle w:val="688"/>
      </w:rPr>
      <w:framePr w:wrap="around" w:vAnchor="text" w:hAnchor="margin" w:xAlign="center" w:y="1"/>
    </w:pPr>
    <w:r>
      <w:rPr>
        <w:rStyle w:val="688"/>
      </w:rPr>
      <w:fldChar w:fldCharType="begin"/>
    </w:r>
    <w:r>
      <w:rPr>
        <w:rStyle w:val="688"/>
      </w:rPr>
      <w:instrText xml:space="preserve">PAGE  </w:instrText>
    </w:r>
    <w:r>
      <w:rPr>
        <w:rStyle w:val="688"/>
      </w:rPr>
      <w:fldChar w:fldCharType="end"/>
    </w:r>
    <w:r>
      <w:rPr>
        <w:rStyle w:val="688"/>
      </w:rPr>
    </w:r>
    <w:r>
      <w:rPr>
        <w:rStyle w:val="688"/>
      </w:rPr>
    </w:r>
  </w:p>
  <w:p>
    <w:pPr>
      <w:pStyle w:val="68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9"/>
    <w:next w:val="67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9"/>
    <w:next w:val="67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9"/>
    <w:next w:val="67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9"/>
    <w:next w:val="67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9"/>
    <w:next w:val="67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9"/>
    <w:next w:val="67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9"/>
    <w:next w:val="67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9"/>
    <w:next w:val="67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9"/>
    <w:next w:val="67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9"/>
    <w:next w:val="67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79"/>
    <w:next w:val="67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79"/>
    <w:next w:val="67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9"/>
    <w:next w:val="67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7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7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79"/>
    <w:next w:val="6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7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79"/>
    <w:next w:val="67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9"/>
    <w:next w:val="67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9"/>
    <w:next w:val="67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9"/>
    <w:next w:val="67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9"/>
    <w:next w:val="67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9"/>
    <w:next w:val="67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9"/>
    <w:next w:val="67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9"/>
    <w:next w:val="67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9"/>
    <w:next w:val="67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9"/>
    <w:next w:val="679"/>
    <w:uiPriority w:val="99"/>
    <w:unhideWhenUsed/>
    <w:pPr>
      <w:spacing w:after="0" w:afterAutospacing="0"/>
    </w:pPr>
  </w:style>
  <w:style w:type="paragraph" w:styleId="679" w:default="1">
    <w:name w:val="Normal"/>
    <w:next w:val="679"/>
    <w:link w:val="679"/>
    <w:qFormat/>
    <w:rPr>
      <w:sz w:val="24"/>
      <w:szCs w:val="24"/>
      <w:lang w:val="ru-RU" w:eastAsia="ru-RU" w:bidi="ar-SA"/>
    </w:rPr>
  </w:style>
  <w:style w:type="character" w:styleId="680">
    <w:name w:val="Основной шрифт абзаца"/>
    <w:next w:val="680"/>
    <w:link w:val="679"/>
    <w:semiHidden/>
  </w:style>
  <w:style w:type="table" w:styleId="681">
    <w:name w:val="Обычная таблица"/>
    <w:next w:val="681"/>
    <w:link w:val="679"/>
    <w:semiHidden/>
    <w:tblPr/>
  </w:style>
  <w:style w:type="numbering" w:styleId="682">
    <w:name w:val="Нет списка"/>
    <w:next w:val="682"/>
    <w:link w:val="679"/>
    <w:semiHidden/>
  </w:style>
  <w:style w:type="paragraph" w:styleId="683">
    <w:name w:val="Основной текст"/>
    <w:basedOn w:val="679"/>
    <w:next w:val="683"/>
    <w:link w:val="679"/>
    <w:pPr>
      <w:jc w:val="center"/>
    </w:pPr>
    <w:rPr>
      <w:b/>
      <w:bCs/>
      <w:sz w:val="28"/>
    </w:rPr>
  </w:style>
  <w:style w:type="paragraph" w:styleId="684">
    <w:name w:val="Название"/>
    <w:basedOn w:val="679"/>
    <w:next w:val="684"/>
    <w:link w:val="679"/>
    <w:qFormat/>
    <w:pPr>
      <w:jc w:val="center"/>
    </w:pPr>
    <w:rPr>
      <w:b/>
      <w:bCs/>
      <w:sz w:val="28"/>
    </w:rPr>
  </w:style>
  <w:style w:type="table" w:styleId="685">
    <w:name w:val="Сетка таблицы"/>
    <w:basedOn w:val="681"/>
    <w:next w:val="685"/>
    <w:link w:val="679"/>
    <w:tblPr/>
  </w:style>
  <w:style w:type="paragraph" w:styleId="686">
    <w:name w:val="Текст выноски"/>
    <w:basedOn w:val="679"/>
    <w:next w:val="686"/>
    <w:link w:val="679"/>
    <w:semiHidden/>
    <w:rPr>
      <w:rFonts w:ascii="Tahoma" w:hAnsi="Tahoma" w:cs="Tahoma"/>
      <w:sz w:val="16"/>
      <w:szCs w:val="16"/>
    </w:rPr>
  </w:style>
  <w:style w:type="paragraph" w:styleId="687">
    <w:name w:val="Нижний колонтитул"/>
    <w:basedOn w:val="679"/>
    <w:next w:val="687"/>
    <w:link w:val="679"/>
    <w:pPr>
      <w:tabs>
        <w:tab w:val="center" w:pos="4677" w:leader="none"/>
        <w:tab w:val="right" w:pos="9355" w:leader="none"/>
      </w:tabs>
    </w:pPr>
  </w:style>
  <w:style w:type="character" w:styleId="688">
    <w:name w:val="Номер страницы"/>
    <w:basedOn w:val="680"/>
    <w:next w:val="688"/>
    <w:link w:val="679"/>
  </w:style>
  <w:style w:type="paragraph" w:styleId="689">
    <w:name w:val="Верхний колонтитул"/>
    <w:basedOn w:val="679"/>
    <w:next w:val="689"/>
    <w:link w:val="679"/>
    <w:pPr>
      <w:tabs>
        <w:tab w:val="center" w:pos="4677" w:leader="none"/>
        <w:tab w:val="right" w:pos="9355" w:leader="none"/>
      </w:tabs>
    </w:pPr>
  </w:style>
  <w:style w:type="paragraph" w:styleId="690">
    <w:name w:val="ConsPlusNormal"/>
    <w:next w:val="690"/>
    <w:link w:val="679"/>
    <w:pPr>
      <w:ind w:firstLine="720"/>
    </w:pPr>
    <w:rPr>
      <w:rFonts w:ascii="Arial" w:hAnsi="Arial" w:cs="Arial"/>
      <w:lang w:val="ru-RU" w:eastAsia="ru-RU" w:bidi="ar-SA"/>
    </w:rPr>
  </w:style>
  <w:style w:type="paragraph" w:styleId="691">
    <w:name w:val="ConsTitle"/>
    <w:next w:val="691"/>
    <w:link w:val="679"/>
    <w:pPr>
      <w:ind w:right="19772"/>
      <w:widowControl w:val="off"/>
    </w:pPr>
    <w:rPr>
      <w:rFonts w:ascii="Arial" w:hAnsi="Arial" w:cs="Arial"/>
      <w:b/>
      <w:bCs/>
      <w:lang w:val="ru-RU" w:eastAsia="ru-RU" w:bidi="ar-SA"/>
    </w:rPr>
  </w:style>
  <w:style w:type="character" w:styleId="812" w:default="1">
    <w:name w:val="Default Paragraph Font"/>
    <w:uiPriority w:val="1"/>
    <w:semiHidden/>
    <w:unhideWhenUsed/>
  </w:style>
  <w:style w:type="numbering" w:styleId="813" w:default="1">
    <w:name w:val="No List"/>
    <w:uiPriority w:val="99"/>
    <w:semiHidden/>
    <w:unhideWhenUsed/>
  </w:style>
  <w:style w:type="table" w:styleId="81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ANO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User1111</dc:creator>
  <cp:revision>8</cp:revision>
  <dcterms:created xsi:type="dcterms:W3CDTF">2026-04-14T06:50:00Z</dcterms:created>
  <dcterms:modified xsi:type="dcterms:W3CDTF">2026-04-20T04:31:30Z</dcterms:modified>
  <cp:version>917504</cp:version>
</cp:coreProperties>
</file>